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165B" w:rsidRPr="009D165B" w:rsidRDefault="009D165B" w:rsidP="009D165B">
      <w:pPr>
        <w:pStyle w:val="CRCoverPage"/>
        <w:outlineLvl w:val="0"/>
        <w:rPr>
          <w:rFonts w:cs="Arial"/>
          <w:b/>
          <w:sz w:val="24"/>
          <w:szCs w:val="24"/>
          <w:lang w:val="en-US"/>
        </w:rPr>
      </w:pPr>
      <w:bookmarkStart w:id="0" w:name="_Toc193024528"/>
      <w:r w:rsidRPr="009D165B">
        <w:rPr>
          <w:rFonts w:cs="Arial"/>
          <w:b/>
          <w:sz w:val="24"/>
          <w:szCs w:val="24"/>
          <w:lang w:val="en-US"/>
        </w:rPr>
        <w:t xml:space="preserve">3GPP TSG-RAN WG4 Meeting # 98-bis-e </w:t>
      </w:r>
      <w:r w:rsidRPr="009D165B">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9D165B">
        <w:rPr>
          <w:rFonts w:cs="Arial"/>
          <w:b/>
          <w:sz w:val="24"/>
          <w:szCs w:val="24"/>
          <w:lang w:val="en-US"/>
        </w:rPr>
        <w:t>R4-210</w:t>
      </w:r>
      <w:r w:rsidR="003448FD">
        <w:rPr>
          <w:rFonts w:cs="Arial"/>
          <w:b/>
          <w:sz w:val="24"/>
          <w:szCs w:val="24"/>
          <w:lang w:val="en-US"/>
        </w:rPr>
        <w:t>6300</w:t>
      </w:r>
      <w:bookmarkStart w:id="1" w:name="_GoBack"/>
      <w:bookmarkEnd w:id="1"/>
    </w:p>
    <w:p w:rsidR="00DB2AC9" w:rsidRPr="00992D9C" w:rsidRDefault="009D165B" w:rsidP="009D165B">
      <w:pPr>
        <w:pStyle w:val="CRCoverPage"/>
        <w:outlineLvl w:val="0"/>
        <w:rPr>
          <w:rFonts w:eastAsia="宋体"/>
          <w:b/>
          <w:i/>
          <w:sz w:val="24"/>
          <w:lang w:eastAsia="zh-CN"/>
        </w:rPr>
      </w:pPr>
      <w:r w:rsidRPr="009D165B">
        <w:rPr>
          <w:rFonts w:cs="Arial"/>
          <w:b/>
          <w:sz w:val="24"/>
          <w:szCs w:val="24"/>
          <w:lang w:val="en-US"/>
        </w:rPr>
        <w:t>Electronic Meeting, Apr. 12-20, 202</w:t>
      </w:r>
      <w:r w:rsidR="00196B8C">
        <w:rPr>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A149C5" w:rsidRPr="00A149C5">
        <w:rPr>
          <w:rFonts w:ascii="Arial" w:hAnsi="Arial"/>
          <w:sz w:val="24"/>
          <w:lang w:val="en-US" w:eastAsia="zh-CN"/>
        </w:rPr>
        <w:t>work plan of extending NR to 71GHz</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981213">
        <w:rPr>
          <w:rFonts w:ascii="Arial" w:hAnsi="Arial"/>
          <w:sz w:val="24"/>
          <w:lang w:val="pt-BR"/>
        </w:rPr>
        <w:t>8.12.</w:t>
      </w:r>
      <w:r w:rsidR="000C4E4D">
        <w:rPr>
          <w:rFonts w:ascii="Arial" w:hAnsi="Arial"/>
          <w:sz w:val="24"/>
          <w:lang w:val="pt-BR"/>
        </w:rPr>
        <w:t>1</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3E302A" w:rsidP="00DB2AC9">
      <w:pPr>
        <w:rPr>
          <w:lang w:val="en-US" w:eastAsia="zh-CN"/>
        </w:rPr>
      </w:pPr>
      <w:r>
        <w:rPr>
          <w:lang w:val="en-US" w:eastAsia="zh-CN"/>
        </w:rPr>
        <w:t>T</w:t>
      </w:r>
      <w:r>
        <w:rPr>
          <w:rFonts w:hint="eastAsia"/>
          <w:lang w:val="en-US" w:eastAsia="zh-CN"/>
        </w:rPr>
        <w:t>h</w:t>
      </w:r>
      <w:r>
        <w:rPr>
          <w:lang w:val="en-US" w:eastAsia="zh-CN"/>
        </w:rPr>
        <w:t xml:space="preserve">e study item of </w:t>
      </w:r>
      <w:r w:rsidRPr="003E302A">
        <w:rPr>
          <w:lang w:val="en-US" w:eastAsia="zh-CN"/>
        </w:rPr>
        <w:t>FS_NR_52_to_71GHz</w:t>
      </w:r>
      <w:r>
        <w:rPr>
          <w:lang w:val="en-US" w:eastAsia="zh-CN"/>
        </w:rPr>
        <w:t xml:space="preserve"> has been claimed as completed in RAN#91-e plenary meeting. With that, the work item of extending NR to 71GHz will start since RAN4#98-bis and RAN4 has been tasked to complete the bands and corresponding requirements. In this paper we give some discussion on the WID[1] and the work plan.</w:t>
      </w:r>
    </w:p>
    <w:p w:rsidR="00DB2AC9" w:rsidRPr="00492450" w:rsidRDefault="00DB2AC9" w:rsidP="00DB2AC9">
      <w:pPr>
        <w:pStyle w:val="1"/>
        <w:rPr>
          <w:lang w:eastAsia="zh-CN"/>
        </w:rPr>
      </w:pPr>
      <w:bookmarkStart w:id="2" w:name="OLE_LINK1"/>
      <w:bookmarkStart w:id="3" w:name="OLE_LINK2"/>
      <w:r w:rsidRPr="00492450">
        <w:rPr>
          <w:rFonts w:hint="eastAsia"/>
          <w:lang w:eastAsia="zh-CN"/>
        </w:rPr>
        <w:t>Discussion</w:t>
      </w:r>
    </w:p>
    <w:p w:rsidR="003E302A" w:rsidRDefault="003E302A" w:rsidP="003E302A">
      <w:pPr>
        <w:pStyle w:val="B1"/>
        <w:spacing w:before="180"/>
        <w:ind w:left="0" w:firstLine="0"/>
        <w:rPr>
          <w:rFonts w:eastAsiaTheme="minorEastAsia"/>
          <w:lang w:eastAsia="zh-CN"/>
        </w:rPr>
      </w:pPr>
      <w:r>
        <w:rPr>
          <w:rFonts w:eastAsiaTheme="minorEastAsia" w:hint="eastAsia"/>
          <w:lang w:eastAsia="zh-CN"/>
        </w:rPr>
        <w:t>T</w:t>
      </w:r>
      <w:r>
        <w:rPr>
          <w:rFonts w:eastAsiaTheme="minorEastAsia"/>
          <w:lang w:eastAsia="zh-CN"/>
        </w:rPr>
        <w:t>he WID[1] has specified the task of RAN4 as below:</w:t>
      </w:r>
    </w:p>
    <w:p w:rsidR="007F3F35" w:rsidRDefault="007F3F35" w:rsidP="003E302A">
      <w:pPr>
        <w:pStyle w:val="B1"/>
        <w:spacing w:before="180"/>
        <w:ind w:left="0" w:firstLine="0"/>
        <w:rPr>
          <w:rFonts w:eastAsiaTheme="minorEastAsia"/>
          <w:lang w:eastAsia="zh-CN"/>
        </w:rPr>
      </w:pPr>
      <w:r>
        <w:rPr>
          <w:rFonts w:eastAsiaTheme="minorEastAsia" w:hint="eastAsia"/>
          <w:lang w:eastAsia="zh-CN"/>
        </w:rPr>
        <w:t>Core</w:t>
      </w:r>
      <w:r>
        <w:rPr>
          <w:rFonts w:eastAsiaTheme="minorEastAsia"/>
          <w:lang w:eastAsia="zh-CN"/>
        </w:rPr>
        <w:t xml:space="preserve"> part:</w:t>
      </w:r>
    </w:p>
    <w:p w:rsidR="007F3F35" w:rsidRDefault="007F3F35" w:rsidP="007F3F35">
      <w:pPr>
        <w:jc w:val="center"/>
        <w:rPr>
          <w:lang w:eastAsia="zh-CN"/>
        </w:rPr>
      </w:pPr>
      <w:r>
        <w:rPr>
          <w:noProof/>
          <w:lang w:val="en-US" w:eastAsia="zh-CN"/>
        </w:rPr>
        <w:drawing>
          <wp:inline distT="0" distB="0" distL="0" distR="0" wp14:anchorId="36BB82A8" wp14:editId="4111C347">
            <wp:extent cx="6038850" cy="1998526"/>
            <wp:effectExtent l="19050" t="19050" r="19050" b="209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046378" cy="2001017"/>
                    </a:xfrm>
                    <a:prstGeom prst="rect">
                      <a:avLst/>
                    </a:prstGeom>
                    <a:ln>
                      <a:solidFill>
                        <a:schemeClr val="tx1"/>
                      </a:solidFill>
                    </a:ln>
                  </pic:spPr>
                </pic:pic>
              </a:graphicData>
            </a:graphic>
          </wp:inline>
        </w:drawing>
      </w:r>
    </w:p>
    <w:p w:rsidR="003E302A" w:rsidRDefault="003E302A" w:rsidP="006A722D">
      <w:pPr>
        <w:rPr>
          <w:lang w:eastAsia="zh-CN"/>
        </w:rPr>
      </w:pPr>
      <w:r>
        <w:rPr>
          <w:rFonts w:hint="eastAsia"/>
          <w:lang w:eastAsia="zh-CN"/>
        </w:rPr>
        <w:t>P</w:t>
      </w:r>
      <w:r>
        <w:rPr>
          <w:lang w:eastAsia="zh-CN"/>
        </w:rPr>
        <w:t>erformance part:</w:t>
      </w:r>
    </w:p>
    <w:p w:rsidR="007F3F35" w:rsidRDefault="007F3F35" w:rsidP="007F3F35">
      <w:pPr>
        <w:jc w:val="center"/>
        <w:rPr>
          <w:lang w:eastAsia="zh-CN"/>
        </w:rPr>
      </w:pPr>
      <w:r>
        <w:rPr>
          <w:noProof/>
          <w:lang w:val="en-US" w:eastAsia="zh-CN"/>
        </w:rPr>
        <w:drawing>
          <wp:inline distT="0" distB="0" distL="0" distR="0" wp14:anchorId="59DBE8FE" wp14:editId="67D82007">
            <wp:extent cx="5375249" cy="963930"/>
            <wp:effectExtent l="19050" t="19050" r="16510" b="266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77316" cy="964301"/>
                    </a:xfrm>
                    <a:prstGeom prst="rect">
                      <a:avLst/>
                    </a:prstGeom>
                    <a:ln>
                      <a:solidFill>
                        <a:schemeClr val="tx1"/>
                      </a:solidFill>
                    </a:ln>
                  </pic:spPr>
                </pic:pic>
              </a:graphicData>
            </a:graphic>
          </wp:inline>
        </w:drawing>
      </w:r>
    </w:p>
    <w:p w:rsidR="007D0890" w:rsidRDefault="00E005B5" w:rsidP="007F3F35">
      <w:pPr>
        <w:rPr>
          <w:lang w:eastAsia="zh-CN"/>
        </w:rPr>
      </w:pPr>
      <w:r>
        <w:rPr>
          <w:rFonts w:hint="eastAsia"/>
          <w:lang w:eastAsia="zh-CN"/>
        </w:rPr>
        <w:t>W</w:t>
      </w:r>
      <w:r>
        <w:rPr>
          <w:lang w:eastAsia="zh-CN"/>
        </w:rPr>
        <w:t xml:space="preserve">ith the above task of accomplishing the core requirements, we believe a </w:t>
      </w:r>
      <w:r w:rsidR="00EC096B">
        <w:rPr>
          <w:lang w:eastAsia="zh-CN"/>
        </w:rPr>
        <w:t>new frequency band should be decided first based on current regulatory procedure. The second step is to choose a sample frequency to establish specific co-existence study within this frequency band. After that, most of the RF requirements can be settled down. Furthermore, as the newly introduced frequency range should have similar RF architecture comparing to FR2 and it can be considered that OTA requirements will be defined instead of conducted requirements.</w:t>
      </w:r>
    </w:p>
    <w:p w:rsidR="00EC096B" w:rsidRPr="00EC096B" w:rsidRDefault="00EC096B" w:rsidP="000C406B">
      <w:pPr>
        <w:rPr>
          <w:b/>
          <w:lang w:eastAsia="zh-CN"/>
        </w:rPr>
      </w:pPr>
      <w:r w:rsidRPr="00EC096B">
        <w:rPr>
          <w:b/>
          <w:lang w:eastAsia="zh-CN"/>
        </w:rPr>
        <w:t>Observation 1: Normally a new frequency band should be decided first and a sample frequency to be selected for further analysis.</w:t>
      </w:r>
    </w:p>
    <w:p w:rsidR="00EC096B" w:rsidRDefault="00EC096B" w:rsidP="000C406B">
      <w:pPr>
        <w:rPr>
          <w:lang w:eastAsia="zh-CN"/>
        </w:rPr>
      </w:pPr>
      <w:r>
        <w:rPr>
          <w:lang w:eastAsia="zh-CN"/>
        </w:rPr>
        <w:t>Tracking back to the study item, the SCS and corresponding min channel bandwidth and max channel bandwidth are not decided yet which is currently captured in TR 38.807. To finish the RF core requirements, the SCS and channel bandwidth should also be decided in specific bands and after that the measurement bandwidth, out-of-band boundary and other requirements can be defined.</w:t>
      </w:r>
    </w:p>
    <w:p w:rsidR="00EC096B" w:rsidRDefault="00EC096B" w:rsidP="000C406B">
      <w:pPr>
        <w:rPr>
          <w:b/>
          <w:lang w:eastAsia="zh-CN"/>
        </w:rPr>
      </w:pPr>
      <w:r w:rsidRPr="00EC096B">
        <w:rPr>
          <w:b/>
          <w:lang w:eastAsia="zh-CN"/>
        </w:rPr>
        <w:t xml:space="preserve">Observation 2: </w:t>
      </w:r>
      <w:r>
        <w:rPr>
          <w:b/>
          <w:lang w:eastAsia="zh-CN"/>
        </w:rPr>
        <w:t>The RF requirements need to consider the SCS and channel bandwidth which have been left from SI phase for NR extend to 71GHz.</w:t>
      </w:r>
    </w:p>
    <w:p w:rsidR="00EC096B" w:rsidRPr="00EC096B" w:rsidRDefault="007F3F35" w:rsidP="000C406B">
      <w:pPr>
        <w:rPr>
          <w:lang w:eastAsia="zh-CN"/>
        </w:rPr>
      </w:pPr>
      <w:r>
        <w:rPr>
          <w:lang w:eastAsia="zh-CN"/>
        </w:rPr>
        <w:lastRenderedPageBreak/>
        <w:t xml:space="preserve">With the above observation, </w:t>
      </w:r>
      <w:r w:rsidR="000C4E4D">
        <w:rPr>
          <w:lang w:eastAsia="zh-CN"/>
        </w:rPr>
        <w:t xml:space="preserve">it is proposed to finish the regulatory requirement </w:t>
      </w:r>
      <w:r>
        <w:rPr>
          <w:lang w:eastAsia="zh-CN"/>
        </w:rPr>
        <w:t>research first and have one specific band first to define corresponding requirements and co-existence study while with the development of the industry, further check any new update of regulatory and new bands to be introduced in this frequency range.</w:t>
      </w:r>
    </w:p>
    <w:p w:rsidR="007F3F35" w:rsidRDefault="007F3F35" w:rsidP="007F3F35">
      <w:pPr>
        <w:rPr>
          <w:lang w:eastAsia="zh-CN"/>
        </w:rPr>
      </w:pPr>
      <w:r>
        <w:rPr>
          <w:rFonts w:hint="eastAsia"/>
          <w:lang w:eastAsia="zh-CN"/>
        </w:rPr>
        <w:t>F</w:t>
      </w:r>
      <w:r>
        <w:rPr>
          <w:lang w:eastAsia="zh-CN"/>
        </w:rPr>
        <w:t xml:space="preserve">urthermore, the licensed and un-licensed spectrum usage is also discussed in RAN4 when defining channel bandwidth. According to the WRC-19 discussion, some of the regions are interested in defining licensed usage while some would like to set un-licensed spectrum in this frequency range. In our view, two bands can be specified </w:t>
      </w:r>
    </w:p>
    <w:p w:rsidR="007F3F35" w:rsidRPr="007F3F35" w:rsidRDefault="007F3F35" w:rsidP="000C406B">
      <w:pPr>
        <w:rPr>
          <w:b/>
          <w:lang w:eastAsia="zh-CN"/>
        </w:rPr>
      </w:pPr>
      <w:r>
        <w:rPr>
          <w:rFonts w:hint="eastAsia"/>
          <w:b/>
          <w:lang w:eastAsia="zh-CN"/>
        </w:rPr>
        <w:t>P</w:t>
      </w:r>
      <w:r>
        <w:rPr>
          <w:b/>
          <w:lang w:eastAsia="zh-CN"/>
        </w:rPr>
        <w:t>roposal: Two bands can be defined as one licensed band and one un-licensed band to define corresponding requirements.</w:t>
      </w:r>
    </w:p>
    <w:bookmarkEnd w:id="2"/>
    <w:bookmarkEnd w:id="3"/>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323263">
        <w:rPr>
          <w:lang w:val="en-US" w:eastAsia="zh-CN"/>
        </w:rPr>
        <w:t xml:space="preserve">remaining issue on </w:t>
      </w:r>
      <w:r w:rsidR="002C2022">
        <w:rPr>
          <w:lang w:val="en-US" w:eastAsia="zh-CN"/>
        </w:rPr>
        <w:t>UE operations for licensed bands partially used for SL transmission</w:t>
      </w:r>
      <w:r w:rsidR="00323263">
        <w:rPr>
          <w:lang w:val="en-US" w:eastAsia="zh-CN"/>
        </w:rPr>
        <w:t xml:space="preserve"> and the observations are shown as below</w:t>
      </w:r>
      <w:r w:rsidR="00323263">
        <w:rPr>
          <w:rFonts w:hint="eastAsia"/>
          <w:lang w:val="en-US" w:eastAsia="zh-CN"/>
        </w:rPr>
        <w:t>：</w:t>
      </w:r>
    </w:p>
    <w:p w:rsidR="007F3F35" w:rsidRPr="00EC096B" w:rsidRDefault="007F3F35" w:rsidP="007F3F35">
      <w:pPr>
        <w:rPr>
          <w:b/>
          <w:lang w:eastAsia="zh-CN"/>
        </w:rPr>
      </w:pPr>
      <w:r w:rsidRPr="00EC096B">
        <w:rPr>
          <w:b/>
          <w:lang w:eastAsia="zh-CN"/>
        </w:rPr>
        <w:t>Observation 1: Normally a new frequency band should be decided first and a sample frequency to be selected for further analysis.</w:t>
      </w:r>
    </w:p>
    <w:p w:rsidR="007F3F35" w:rsidRDefault="007F3F35" w:rsidP="007F3F35">
      <w:pPr>
        <w:rPr>
          <w:b/>
          <w:lang w:eastAsia="zh-CN"/>
        </w:rPr>
      </w:pPr>
      <w:r w:rsidRPr="00EC096B">
        <w:rPr>
          <w:b/>
          <w:lang w:eastAsia="zh-CN"/>
        </w:rPr>
        <w:t xml:space="preserve">Observation 2: </w:t>
      </w:r>
      <w:r>
        <w:rPr>
          <w:b/>
          <w:lang w:eastAsia="zh-CN"/>
        </w:rPr>
        <w:t>The RF requirements need to consider the SCS and channel bandwidth which have been left from SI phase for NR extend to 71GHz.</w:t>
      </w:r>
    </w:p>
    <w:p w:rsidR="007F3F35" w:rsidRPr="007F3F35" w:rsidRDefault="007F3F35" w:rsidP="007F3F35">
      <w:pPr>
        <w:rPr>
          <w:b/>
          <w:lang w:eastAsia="zh-CN"/>
        </w:rPr>
      </w:pPr>
      <w:r>
        <w:rPr>
          <w:rFonts w:hint="eastAsia"/>
          <w:b/>
          <w:lang w:eastAsia="zh-CN"/>
        </w:rPr>
        <w:t>P</w:t>
      </w:r>
      <w:r>
        <w:rPr>
          <w:b/>
          <w:lang w:eastAsia="zh-CN"/>
        </w:rPr>
        <w:t>roposal: Two bands can be defined as one licensed band and one un-licensed band to define corresponding requirements.</w:t>
      </w:r>
    </w:p>
    <w:p w:rsidR="00DB2AC9" w:rsidRPr="000A4C5A" w:rsidRDefault="00DB2AC9" w:rsidP="00DB2AC9">
      <w:pPr>
        <w:pStyle w:val="1"/>
      </w:pPr>
      <w:r w:rsidRPr="000A4C5A">
        <w:rPr>
          <w:rFonts w:hint="eastAsia"/>
        </w:rPr>
        <w:t>Reference</w:t>
      </w:r>
    </w:p>
    <w:bookmarkEnd w:id="0"/>
    <w:p w:rsidR="00222B02" w:rsidRPr="006D21FB" w:rsidRDefault="007F3F35" w:rsidP="007F3F35">
      <w:pPr>
        <w:numPr>
          <w:ilvl w:val="0"/>
          <w:numId w:val="2"/>
        </w:numPr>
        <w:rPr>
          <w:lang w:val="en-US" w:eastAsia="zh-CN"/>
        </w:rPr>
      </w:pPr>
      <w:r>
        <w:rPr>
          <w:lang w:val="en-US" w:eastAsia="zh-CN"/>
        </w:rPr>
        <w:t xml:space="preserve">RP-202925 </w:t>
      </w:r>
      <w:r w:rsidRPr="007F3F35">
        <w:rPr>
          <w:lang w:val="en-US" w:eastAsia="zh-CN"/>
        </w:rPr>
        <w:t>Revised WID:  Extending current NR operation to 71 GHz</w:t>
      </w:r>
      <w:r>
        <w:rPr>
          <w:lang w:val="en-US" w:eastAsia="zh-CN"/>
        </w:rPr>
        <w:t>, CMCC</w:t>
      </w:r>
    </w:p>
    <w:sectPr w:rsidR="00222B02" w:rsidRPr="006D21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6CE" w:rsidRDefault="004F66CE" w:rsidP="00DB2AC9">
      <w:pPr>
        <w:spacing w:after="0"/>
      </w:pPr>
      <w:r>
        <w:separator/>
      </w:r>
    </w:p>
  </w:endnote>
  <w:endnote w:type="continuationSeparator" w:id="0">
    <w:p w:rsidR="004F66CE" w:rsidRDefault="004F66CE"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6CE" w:rsidRDefault="004F66CE" w:rsidP="00DB2AC9">
      <w:pPr>
        <w:spacing w:after="0"/>
      </w:pPr>
      <w:r>
        <w:separator/>
      </w:r>
    </w:p>
  </w:footnote>
  <w:footnote w:type="continuationSeparator" w:id="0">
    <w:p w:rsidR="004F66CE" w:rsidRDefault="004F66CE"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063F1D"/>
    <w:multiLevelType w:val="hybridMultilevel"/>
    <w:tmpl w:val="F3022574"/>
    <w:lvl w:ilvl="0" w:tplc="265CFC56">
      <w:start w:val="1"/>
      <w:numFmt w:val="bullet"/>
      <w:lvlText w:val="⁻"/>
      <w:lvlJc w:val="left"/>
      <w:pPr>
        <w:tabs>
          <w:tab w:val="num" w:pos="720"/>
        </w:tabs>
        <w:ind w:left="720" w:hanging="360"/>
      </w:pPr>
      <w:rPr>
        <w:rFonts w:ascii="Calibri" w:hAnsi="Calibri" w:hint="default"/>
      </w:rPr>
    </w:lvl>
    <w:lvl w:ilvl="1" w:tplc="2D86F14A">
      <w:start w:val="1"/>
      <w:numFmt w:val="bullet"/>
      <w:lvlText w:val="⁻"/>
      <w:lvlJc w:val="left"/>
      <w:pPr>
        <w:tabs>
          <w:tab w:val="num" w:pos="1440"/>
        </w:tabs>
        <w:ind w:left="1440" w:hanging="360"/>
      </w:pPr>
      <w:rPr>
        <w:rFonts w:ascii="Calibri" w:hAnsi="Calibri" w:hint="default"/>
      </w:rPr>
    </w:lvl>
    <w:lvl w:ilvl="2" w:tplc="63B2332C" w:tentative="1">
      <w:start w:val="1"/>
      <w:numFmt w:val="bullet"/>
      <w:lvlText w:val="⁻"/>
      <w:lvlJc w:val="left"/>
      <w:pPr>
        <w:tabs>
          <w:tab w:val="num" w:pos="2160"/>
        </w:tabs>
        <w:ind w:left="2160" w:hanging="360"/>
      </w:pPr>
      <w:rPr>
        <w:rFonts w:ascii="Calibri" w:hAnsi="Calibri" w:hint="default"/>
      </w:rPr>
    </w:lvl>
    <w:lvl w:ilvl="3" w:tplc="707CB150" w:tentative="1">
      <w:start w:val="1"/>
      <w:numFmt w:val="bullet"/>
      <w:lvlText w:val="⁻"/>
      <w:lvlJc w:val="left"/>
      <w:pPr>
        <w:tabs>
          <w:tab w:val="num" w:pos="2880"/>
        </w:tabs>
        <w:ind w:left="2880" w:hanging="360"/>
      </w:pPr>
      <w:rPr>
        <w:rFonts w:ascii="Calibri" w:hAnsi="Calibri" w:hint="default"/>
      </w:rPr>
    </w:lvl>
    <w:lvl w:ilvl="4" w:tplc="C9543C5C" w:tentative="1">
      <w:start w:val="1"/>
      <w:numFmt w:val="bullet"/>
      <w:lvlText w:val="⁻"/>
      <w:lvlJc w:val="left"/>
      <w:pPr>
        <w:tabs>
          <w:tab w:val="num" w:pos="3600"/>
        </w:tabs>
        <w:ind w:left="3600" w:hanging="360"/>
      </w:pPr>
      <w:rPr>
        <w:rFonts w:ascii="Calibri" w:hAnsi="Calibri" w:hint="default"/>
      </w:rPr>
    </w:lvl>
    <w:lvl w:ilvl="5" w:tplc="FCA62768" w:tentative="1">
      <w:start w:val="1"/>
      <w:numFmt w:val="bullet"/>
      <w:lvlText w:val="⁻"/>
      <w:lvlJc w:val="left"/>
      <w:pPr>
        <w:tabs>
          <w:tab w:val="num" w:pos="4320"/>
        </w:tabs>
        <w:ind w:left="4320" w:hanging="360"/>
      </w:pPr>
      <w:rPr>
        <w:rFonts w:ascii="Calibri" w:hAnsi="Calibri" w:hint="default"/>
      </w:rPr>
    </w:lvl>
    <w:lvl w:ilvl="6" w:tplc="2B9E9C02" w:tentative="1">
      <w:start w:val="1"/>
      <w:numFmt w:val="bullet"/>
      <w:lvlText w:val="⁻"/>
      <w:lvlJc w:val="left"/>
      <w:pPr>
        <w:tabs>
          <w:tab w:val="num" w:pos="5040"/>
        </w:tabs>
        <w:ind w:left="5040" w:hanging="360"/>
      </w:pPr>
      <w:rPr>
        <w:rFonts w:ascii="Calibri" w:hAnsi="Calibri" w:hint="default"/>
      </w:rPr>
    </w:lvl>
    <w:lvl w:ilvl="7" w:tplc="942278CE" w:tentative="1">
      <w:start w:val="1"/>
      <w:numFmt w:val="bullet"/>
      <w:lvlText w:val="⁻"/>
      <w:lvlJc w:val="left"/>
      <w:pPr>
        <w:tabs>
          <w:tab w:val="num" w:pos="5760"/>
        </w:tabs>
        <w:ind w:left="5760" w:hanging="360"/>
      </w:pPr>
      <w:rPr>
        <w:rFonts w:ascii="Calibri" w:hAnsi="Calibri" w:hint="default"/>
      </w:rPr>
    </w:lvl>
    <w:lvl w:ilvl="8" w:tplc="EC8AF032"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019EF"/>
    <w:rsid w:val="0003136E"/>
    <w:rsid w:val="00052351"/>
    <w:rsid w:val="000C406B"/>
    <w:rsid w:val="000C4E4D"/>
    <w:rsid w:val="0015201A"/>
    <w:rsid w:val="00153FF0"/>
    <w:rsid w:val="00196B8C"/>
    <w:rsid w:val="001E0BF5"/>
    <w:rsid w:val="001F4672"/>
    <w:rsid w:val="00202BBB"/>
    <w:rsid w:val="002053CD"/>
    <w:rsid w:val="00210163"/>
    <w:rsid w:val="00222B02"/>
    <w:rsid w:val="00260C91"/>
    <w:rsid w:val="00263744"/>
    <w:rsid w:val="00284B35"/>
    <w:rsid w:val="002C2022"/>
    <w:rsid w:val="002D2F74"/>
    <w:rsid w:val="002E0C98"/>
    <w:rsid w:val="00316C4B"/>
    <w:rsid w:val="00323263"/>
    <w:rsid w:val="003448FD"/>
    <w:rsid w:val="00345A95"/>
    <w:rsid w:val="00350A88"/>
    <w:rsid w:val="003E302A"/>
    <w:rsid w:val="00401396"/>
    <w:rsid w:val="00477BCE"/>
    <w:rsid w:val="004F66CE"/>
    <w:rsid w:val="0052288E"/>
    <w:rsid w:val="00576F8F"/>
    <w:rsid w:val="00594B57"/>
    <w:rsid w:val="005B1762"/>
    <w:rsid w:val="005C016E"/>
    <w:rsid w:val="005D31D2"/>
    <w:rsid w:val="006151D3"/>
    <w:rsid w:val="006318F5"/>
    <w:rsid w:val="00643CB9"/>
    <w:rsid w:val="00647E25"/>
    <w:rsid w:val="00662611"/>
    <w:rsid w:val="006A722D"/>
    <w:rsid w:val="006D21FB"/>
    <w:rsid w:val="00773B7D"/>
    <w:rsid w:val="00777DF8"/>
    <w:rsid w:val="00780492"/>
    <w:rsid w:val="007D0890"/>
    <w:rsid w:val="007F3F35"/>
    <w:rsid w:val="008006DE"/>
    <w:rsid w:val="00805BF5"/>
    <w:rsid w:val="00806124"/>
    <w:rsid w:val="00866946"/>
    <w:rsid w:val="008D0CAC"/>
    <w:rsid w:val="00981213"/>
    <w:rsid w:val="00992D9C"/>
    <w:rsid w:val="009D165B"/>
    <w:rsid w:val="00A04E47"/>
    <w:rsid w:val="00A149C5"/>
    <w:rsid w:val="00A24FEA"/>
    <w:rsid w:val="00A30953"/>
    <w:rsid w:val="00A3401F"/>
    <w:rsid w:val="00A46759"/>
    <w:rsid w:val="00B03CB3"/>
    <w:rsid w:val="00B3173F"/>
    <w:rsid w:val="00B454C2"/>
    <w:rsid w:val="00BA499B"/>
    <w:rsid w:val="00BA648E"/>
    <w:rsid w:val="00BB408C"/>
    <w:rsid w:val="00BD22AC"/>
    <w:rsid w:val="00BE2F01"/>
    <w:rsid w:val="00C42119"/>
    <w:rsid w:val="00C7497C"/>
    <w:rsid w:val="00C75255"/>
    <w:rsid w:val="00CA6327"/>
    <w:rsid w:val="00CA75C2"/>
    <w:rsid w:val="00CB23EB"/>
    <w:rsid w:val="00CB6C89"/>
    <w:rsid w:val="00CE6AC7"/>
    <w:rsid w:val="00CF3C50"/>
    <w:rsid w:val="00D03608"/>
    <w:rsid w:val="00D60472"/>
    <w:rsid w:val="00D938AB"/>
    <w:rsid w:val="00DB2AC9"/>
    <w:rsid w:val="00DB5C03"/>
    <w:rsid w:val="00DD4592"/>
    <w:rsid w:val="00E005B5"/>
    <w:rsid w:val="00E02E23"/>
    <w:rsid w:val="00E23861"/>
    <w:rsid w:val="00E9533D"/>
    <w:rsid w:val="00EA50F7"/>
    <w:rsid w:val="00EB031E"/>
    <w:rsid w:val="00EC096B"/>
    <w:rsid w:val="00EF5CEB"/>
    <w:rsid w:val="00F51CE6"/>
    <w:rsid w:val="00F51F95"/>
    <w:rsid w:val="00F65F49"/>
    <w:rsid w:val="00F93B56"/>
    <w:rsid w:val="00F94CD6"/>
    <w:rsid w:val="00FC3EB5"/>
    <w:rsid w:val="00FE3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509427"/>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table" w:styleId="aa">
    <w:name w:val="Table Grid"/>
    <w:basedOn w:val="a3"/>
    <w:uiPriority w:val="39"/>
    <w:rsid w:val="006A7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1"/>
    <w:rsid w:val="003E302A"/>
    <w:pPr>
      <w:overflowPunct w:val="0"/>
      <w:autoSpaceDE w:val="0"/>
      <w:autoSpaceDN w:val="0"/>
      <w:adjustRightInd w:val="0"/>
      <w:ind w:left="568" w:firstLineChars="0" w:hanging="284"/>
      <w:contextualSpacing w:val="0"/>
      <w:textAlignment w:val="baseline"/>
    </w:pPr>
    <w:rPr>
      <w:lang w:eastAsia="en-GB"/>
    </w:rPr>
  </w:style>
  <w:style w:type="paragraph" w:customStyle="1" w:styleId="B2">
    <w:name w:val="B2"/>
    <w:basedOn w:val="22"/>
    <w:rsid w:val="003E302A"/>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1Char1">
    <w:name w:val="B1 Char1"/>
    <w:link w:val="B1"/>
    <w:locked/>
    <w:rsid w:val="003E302A"/>
    <w:rPr>
      <w:rFonts w:ascii="Times New Roman" w:eastAsia="宋体" w:hAnsi="Times New Roman" w:cs="Times New Roman"/>
      <w:kern w:val="0"/>
      <w:sz w:val="20"/>
      <w:szCs w:val="20"/>
      <w:lang w:val="en-GB" w:eastAsia="en-GB"/>
    </w:rPr>
  </w:style>
  <w:style w:type="paragraph" w:styleId="ab">
    <w:name w:val="List"/>
    <w:basedOn w:val="a1"/>
    <w:uiPriority w:val="99"/>
    <w:semiHidden/>
    <w:unhideWhenUsed/>
    <w:rsid w:val="003E302A"/>
    <w:pPr>
      <w:ind w:left="200" w:hangingChars="200" w:hanging="200"/>
      <w:contextualSpacing/>
    </w:pPr>
  </w:style>
  <w:style w:type="paragraph" w:styleId="22">
    <w:name w:val="List 2"/>
    <w:basedOn w:val="a1"/>
    <w:uiPriority w:val="99"/>
    <w:semiHidden/>
    <w:unhideWhenUsed/>
    <w:rsid w:val="003E302A"/>
    <w:pPr>
      <w:ind w:leftChars="200" w:left="100" w:hangingChars="200" w:hanging="200"/>
      <w:contextualSpacing/>
    </w:pPr>
  </w:style>
  <w:style w:type="paragraph" w:customStyle="1" w:styleId="-Bullets">
    <w:name w:val="- Bullets"/>
    <w:aliases w:val="?? ??,?????,????,Lista1,中等深浅网格 1 - 着色 21,列表段落1,—ño’i—Ž,¥¡¡¡¡ì¬º¥¹¥È¶ÎÂä,ÁÐ³ö¶ÎÂä,¥ê¥¹¥È¶ÎÂä,1st level - Bullet List Paragraph,Lettre d'introduction,Paragrafo elenco,Normal bullet 2,Bullet list,목록단락,列出段落1,列表段落11"/>
    <w:basedOn w:val="a1"/>
    <w:next w:val="ac"/>
    <w:link w:val="ad"/>
    <w:uiPriority w:val="34"/>
    <w:qFormat/>
    <w:rsid w:val="003E302A"/>
    <w:pPr>
      <w:overflowPunct w:val="0"/>
      <w:autoSpaceDE w:val="0"/>
      <w:autoSpaceDN w:val="0"/>
      <w:adjustRightInd w:val="0"/>
      <w:ind w:left="720"/>
      <w:contextualSpacing/>
      <w:textAlignment w:val="baseline"/>
    </w:pPr>
    <w:rPr>
      <w:rFonts w:eastAsia="MS Mincho"/>
    </w:rPr>
  </w:style>
  <w:style w:type="character" w:customStyle="1" w:styleId="ad">
    <w:name w:val="列表段落 字符"/>
    <w:aliases w:val="- Bullets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목록단락 字符"/>
    <w:link w:val="-Bullets"/>
    <w:uiPriority w:val="34"/>
    <w:qFormat/>
    <w:locked/>
    <w:rsid w:val="003E302A"/>
    <w:rPr>
      <w:rFonts w:eastAsia="MS Mincho"/>
      <w:lang w:val="en-GB" w:eastAsia="en-US"/>
    </w:rPr>
  </w:style>
  <w:style w:type="paragraph" w:styleId="ac">
    <w:name w:val="List Paragraph"/>
    <w:basedOn w:val="a1"/>
    <w:uiPriority w:val="34"/>
    <w:qFormat/>
    <w:rsid w:val="003E302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245897">
      <w:bodyDiv w:val="1"/>
      <w:marLeft w:val="0"/>
      <w:marRight w:val="0"/>
      <w:marTop w:val="0"/>
      <w:marBottom w:val="0"/>
      <w:divBdr>
        <w:top w:val="none" w:sz="0" w:space="0" w:color="auto"/>
        <w:left w:val="none" w:sz="0" w:space="0" w:color="auto"/>
        <w:bottom w:val="none" w:sz="0" w:space="0" w:color="auto"/>
        <w:right w:val="none" w:sz="0" w:space="0" w:color="auto"/>
      </w:divBdr>
    </w:div>
    <w:div w:id="1034619028">
      <w:bodyDiv w:val="1"/>
      <w:marLeft w:val="0"/>
      <w:marRight w:val="0"/>
      <w:marTop w:val="0"/>
      <w:marBottom w:val="0"/>
      <w:divBdr>
        <w:top w:val="none" w:sz="0" w:space="0" w:color="auto"/>
        <w:left w:val="none" w:sz="0" w:space="0" w:color="auto"/>
        <w:bottom w:val="none" w:sz="0" w:space="0" w:color="auto"/>
        <w:right w:val="none" w:sz="0" w:space="0" w:color="auto"/>
      </w:divBdr>
    </w:div>
    <w:div w:id="1171674856">
      <w:bodyDiv w:val="1"/>
      <w:marLeft w:val="0"/>
      <w:marRight w:val="0"/>
      <w:marTop w:val="0"/>
      <w:marBottom w:val="0"/>
      <w:divBdr>
        <w:top w:val="none" w:sz="0" w:space="0" w:color="auto"/>
        <w:left w:val="none" w:sz="0" w:space="0" w:color="auto"/>
        <w:bottom w:val="none" w:sz="0" w:space="0" w:color="auto"/>
        <w:right w:val="none" w:sz="0" w:space="0" w:color="auto"/>
      </w:divBdr>
    </w:div>
    <w:div w:id="1180192419">
      <w:bodyDiv w:val="1"/>
      <w:marLeft w:val="0"/>
      <w:marRight w:val="0"/>
      <w:marTop w:val="0"/>
      <w:marBottom w:val="0"/>
      <w:divBdr>
        <w:top w:val="none" w:sz="0" w:space="0" w:color="auto"/>
        <w:left w:val="none" w:sz="0" w:space="0" w:color="auto"/>
        <w:bottom w:val="none" w:sz="0" w:space="0" w:color="auto"/>
        <w:right w:val="none" w:sz="0" w:space="0" w:color="auto"/>
      </w:divBdr>
    </w:div>
    <w:div w:id="1889995653">
      <w:bodyDiv w:val="1"/>
      <w:marLeft w:val="0"/>
      <w:marRight w:val="0"/>
      <w:marTop w:val="0"/>
      <w:marBottom w:val="0"/>
      <w:divBdr>
        <w:top w:val="none" w:sz="0" w:space="0" w:color="auto"/>
        <w:left w:val="none" w:sz="0" w:space="0" w:color="auto"/>
        <w:bottom w:val="none" w:sz="0" w:space="0" w:color="auto"/>
        <w:right w:val="none" w:sz="0" w:space="0" w:color="auto"/>
      </w:divBdr>
      <w:divsChild>
        <w:div w:id="1863082790">
          <w:marLeft w:val="1080"/>
          <w:marRight w:val="0"/>
          <w:marTop w:val="100"/>
          <w:marBottom w:val="0"/>
          <w:divBdr>
            <w:top w:val="none" w:sz="0" w:space="0" w:color="auto"/>
            <w:left w:val="none" w:sz="0" w:space="0" w:color="auto"/>
            <w:bottom w:val="none" w:sz="0" w:space="0" w:color="auto"/>
            <w:right w:val="none" w:sz="0" w:space="0" w:color="auto"/>
          </w:divBdr>
        </w:div>
        <w:div w:id="1445465440">
          <w:marLeft w:val="1080"/>
          <w:marRight w:val="0"/>
          <w:marTop w:val="100"/>
          <w:marBottom w:val="0"/>
          <w:divBdr>
            <w:top w:val="none" w:sz="0" w:space="0" w:color="auto"/>
            <w:left w:val="none" w:sz="0" w:space="0" w:color="auto"/>
            <w:bottom w:val="none" w:sz="0" w:space="0" w:color="auto"/>
            <w:right w:val="none" w:sz="0" w:space="0" w:color="auto"/>
          </w:divBdr>
        </w:div>
        <w:div w:id="1792822659">
          <w:marLeft w:val="1080"/>
          <w:marRight w:val="0"/>
          <w:marTop w:val="100"/>
          <w:marBottom w:val="0"/>
          <w:divBdr>
            <w:top w:val="none" w:sz="0" w:space="0" w:color="auto"/>
            <w:left w:val="none" w:sz="0" w:space="0" w:color="auto"/>
            <w:bottom w:val="none" w:sz="0" w:space="0" w:color="auto"/>
            <w:right w:val="none" w:sz="0" w:space="0" w:color="auto"/>
          </w:divBdr>
        </w:div>
        <w:div w:id="1178153736">
          <w:marLeft w:val="1080"/>
          <w:marRight w:val="0"/>
          <w:marTop w:val="100"/>
          <w:marBottom w:val="0"/>
          <w:divBdr>
            <w:top w:val="none" w:sz="0" w:space="0" w:color="auto"/>
            <w:left w:val="none" w:sz="0" w:space="0" w:color="auto"/>
            <w:bottom w:val="none" w:sz="0" w:space="0" w:color="auto"/>
            <w:right w:val="none" w:sz="0" w:space="0" w:color="auto"/>
          </w:divBdr>
        </w:div>
        <w:div w:id="500661406">
          <w:marLeft w:val="1080"/>
          <w:marRight w:val="0"/>
          <w:marTop w:val="100"/>
          <w:marBottom w:val="0"/>
          <w:divBdr>
            <w:top w:val="none" w:sz="0" w:space="0" w:color="auto"/>
            <w:left w:val="none" w:sz="0" w:space="0" w:color="auto"/>
            <w:bottom w:val="none" w:sz="0" w:space="0" w:color="auto"/>
            <w:right w:val="none" w:sz="0" w:space="0" w:color="auto"/>
          </w:divBdr>
        </w:div>
        <w:div w:id="1935394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3486</TotalTime>
  <Pages>2</Pages>
  <Words>484</Words>
  <Characters>2763</Characters>
  <Application>Microsoft Office Word</Application>
  <DocSecurity>0</DocSecurity>
  <Lines>23</Lines>
  <Paragraphs>6</Paragraphs>
  <ScaleCrop>false</ScaleCrop>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35</cp:revision>
  <dcterms:created xsi:type="dcterms:W3CDTF">2020-08-06T01:43:00Z</dcterms:created>
  <dcterms:modified xsi:type="dcterms:W3CDTF">2021-04-02T09:00:00Z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